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23632" w14:textId="14331D6B" w:rsidR="0040487F" w:rsidRPr="00E576E0" w:rsidRDefault="00F106B2" w:rsidP="0040487F">
      <w:pPr>
        <w:jc w:val="center"/>
        <w:rPr>
          <w:rFonts w:cstheme="minorHAnsi"/>
          <w:b/>
          <w:bCs/>
          <w:color w:val="0070C0"/>
        </w:rPr>
      </w:pPr>
      <w:r w:rsidRPr="00E576E0">
        <w:rPr>
          <w:rFonts w:cstheme="minorHAnsi"/>
          <w:b/>
          <w:bCs/>
          <w:color w:val="0070C0"/>
        </w:rPr>
        <w:t>Fortbildungsreihe</w:t>
      </w:r>
      <w:r w:rsidR="0040487F" w:rsidRPr="00E576E0">
        <w:rPr>
          <w:rFonts w:cstheme="minorHAnsi"/>
          <w:b/>
          <w:bCs/>
          <w:color w:val="0070C0"/>
        </w:rPr>
        <w:t xml:space="preserve"> „Darstellendes Spiel“</w:t>
      </w:r>
    </w:p>
    <w:p w14:paraId="61C60270" w14:textId="306EFEE3" w:rsidR="0040487F" w:rsidRPr="00E576E0" w:rsidRDefault="0040487F" w:rsidP="0040487F">
      <w:pPr>
        <w:rPr>
          <w:rFonts w:cstheme="minorHAnsi"/>
        </w:rPr>
      </w:pPr>
    </w:p>
    <w:p w14:paraId="04588092" w14:textId="670A96CB" w:rsidR="0040487F" w:rsidRPr="00E576E0" w:rsidRDefault="00A2119B" w:rsidP="00A2119B">
      <w:pPr>
        <w:jc w:val="both"/>
        <w:rPr>
          <w:rStyle w:val="Fett"/>
          <w:rFonts w:cstheme="minorHAnsi"/>
          <w:b w:val="0"/>
          <w:shd w:val="clear" w:color="auto" w:fill="FFFFFF"/>
        </w:rPr>
      </w:pPr>
      <w:r w:rsidRPr="00A2119B">
        <w:drawing>
          <wp:anchor distT="0" distB="0" distL="114300" distR="114300" simplePos="0" relativeHeight="251658240" behindDoc="1" locked="0" layoutInCell="1" allowOverlap="1" wp14:anchorId="39D797E1" wp14:editId="4F5087F8">
            <wp:simplePos x="0" y="0"/>
            <wp:positionH relativeFrom="margin">
              <wp:align>left</wp:align>
            </wp:positionH>
            <wp:positionV relativeFrom="paragraph">
              <wp:posOffset>72966</wp:posOffset>
            </wp:positionV>
            <wp:extent cx="2112645" cy="4196715"/>
            <wp:effectExtent l="0" t="0" r="1905" b="0"/>
            <wp:wrapTight wrapText="bothSides">
              <wp:wrapPolygon edited="0">
                <wp:start x="0" y="0"/>
                <wp:lineTo x="0" y="21473"/>
                <wp:lineTo x="21425" y="21473"/>
                <wp:lineTo x="2142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115918" cy="4202466"/>
                    </a:xfrm>
                    <a:prstGeom prst="rect">
                      <a:avLst/>
                    </a:prstGeom>
                  </pic:spPr>
                </pic:pic>
              </a:graphicData>
            </a:graphic>
            <wp14:sizeRelH relativeFrom="margin">
              <wp14:pctWidth>0</wp14:pctWidth>
            </wp14:sizeRelH>
            <wp14:sizeRelV relativeFrom="margin">
              <wp14:pctHeight>0</wp14:pctHeight>
            </wp14:sizeRelV>
          </wp:anchor>
        </w:drawing>
      </w:r>
      <w:r w:rsidR="0040487F" w:rsidRPr="00E576E0">
        <w:rPr>
          <w:rStyle w:val="Fett"/>
          <w:rFonts w:cstheme="minorHAnsi"/>
          <w:b w:val="0"/>
          <w:shd w:val="clear" w:color="auto" w:fill="FFFFFF"/>
        </w:rPr>
        <w:t xml:space="preserve">Die Fortbildungsreihe </w:t>
      </w:r>
      <w:r w:rsidR="00F106B2" w:rsidRPr="00E576E0">
        <w:rPr>
          <w:rStyle w:val="Fett"/>
          <w:rFonts w:cstheme="minorHAnsi"/>
          <w:b w:val="0"/>
          <w:shd w:val="clear" w:color="auto" w:fill="FFFFFF"/>
        </w:rPr>
        <w:t xml:space="preserve">Darstellendes Spiel </w:t>
      </w:r>
      <w:r w:rsidR="0040487F" w:rsidRPr="00E576E0">
        <w:rPr>
          <w:rStyle w:val="Fett"/>
          <w:rFonts w:cstheme="minorHAnsi"/>
          <w:b w:val="0"/>
          <w:shd w:val="clear" w:color="auto" w:fill="FFFFFF"/>
        </w:rPr>
        <w:t>besteht aus acht Modulen und erstreckt sich über einen Zeitraum von etwa einem Jahr. Sie legt die ersten Grundsteine für die Theaterarbeit an Schulen und die Module bauen inhaltlich aufeinander auf.</w:t>
      </w:r>
      <w:r w:rsidR="00F106B2" w:rsidRPr="00E576E0">
        <w:rPr>
          <w:rStyle w:val="Fett"/>
          <w:rFonts w:cstheme="minorHAnsi"/>
          <w:b w:val="0"/>
          <w:shd w:val="clear" w:color="auto" w:fill="FFFFFF"/>
        </w:rPr>
        <w:t xml:space="preserve"> Das erste Modul wird im Rahmen der Semesterfahrt durchgeführt und bietet den </w:t>
      </w:r>
      <w:proofErr w:type="spellStart"/>
      <w:r w:rsidR="00F106B2" w:rsidRPr="00E576E0">
        <w:rPr>
          <w:rStyle w:val="Fett"/>
          <w:rFonts w:cstheme="minorHAnsi"/>
          <w:b w:val="0"/>
          <w:shd w:val="clear" w:color="auto" w:fill="FFFFFF"/>
        </w:rPr>
        <w:t>LiV</w:t>
      </w:r>
      <w:proofErr w:type="spellEnd"/>
      <w:r w:rsidR="00F106B2" w:rsidRPr="00E576E0">
        <w:rPr>
          <w:rStyle w:val="Fett"/>
          <w:rFonts w:cstheme="minorHAnsi"/>
          <w:b w:val="0"/>
          <w:shd w:val="clear" w:color="auto" w:fill="FFFFFF"/>
        </w:rPr>
        <w:t xml:space="preserve"> einen Einblick in die Reihe.</w:t>
      </w:r>
    </w:p>
    <w:p w14:paraId="52491A82" w14:textId="77777777" w:rsidR="0040487F" w:rsidRPr="00E576E0" w:rsidRDefault="0040487F" w:rsidP="00A2119B">
      <w:pPr>
        <w:jc w:val="both"/>
        <w:rPr>
          <w:rFonts w:cstheme="minorHAnsi"/>
          <w:shd w:val="clear" w:color="auto" w:fill="FFFFFF"/>
        </w:rPr>
      </w:pPr>
      <w:r w:rsidRPr="00E576E0">
        <w:rPr>
          <w:rFonts w:cstheme="minorHAnsi"/>
          <w:shd w:val="clear" w:color="auto" w:fill="FFFFFF"/>
        </w:rPr>
        <w:t>„Darstellendes Spiel“ ist in der Oberstufe eines der drei Fächer aus dem musisch-künstlerischen Bereich und kann in Unter- und Mittelstufe z.B. im WPU- oder AG-Bereich angeboten werden.</w:t>
      </w:r>
    </w:p>
    <w:p w14:paraId="598AD347" w14:textId="77777777" w:rsidR="00F106B2" w:rsidRPr="00E576E0" w:rsidRDefault="00F106B2" w:rsidP="00A2119B">
      <w:pPr>
        <w:jc w:val="both"/>
        <w:rPr>
          <w:rFonts w:cstheme="minorHAnsi"/>
          <w:shd w:val="clear" w:color="auto" w:fill="FFFFFF"/>
        </w:rPr>
      </w:pPr>
      <w:r w:rsidRPr="00E576E0">
        <w:rPr>
          <w:rFonts w:cstheme="minorHAnsi"/>
          <w:shd w:val="clear" w:color="auto" w:fill="FFFFFF"/>
        </w:rPr>
        <w:t>Die vermittelten Inhalte dienen jedoch nicht nur dem Theaterunterricht, sie bieten auch kreative und praxisorientierte Methoden für die Gestaltung des Fachunterrichts. Außerdem werden wichtige Aspekte der Persönlichkeitsentwicklung von Lehrkräften, wie Körpersprache, Präsenz, Sprache, etc. trainiert und reflektiert.</w:t>
      </w:r>
    </w:p>
    <w:p w14:paraId="3DD833C5" w14:textId="77777777" w:rsidR="0040487F" w:rsidRPr="00E576E0" w:rsidRDefault="0040487F" w:rsidP="00A2119B">
      <w:pPr>
        <w:pStyle w:val="Kopfzeile"/>
        <w:tabs>
          <w:tab w:val="clear" w:pos="4536"/>
          <w:tab w:val="clear" w:pos="9072"/>
        </w:tabs>
        <w:jc w:val="both"/>
        <w:rPr>
          <w:rFonts w:asciiTheme="minorHAnsi" w:hAnsiTheme="minorHAnsi" w:cstheme="minorHAnsi"/>
          <w:sz w:val="22"/>
          <w:szCs w:val="22"/>
        </w:rPr>
      </w:pPr>
      <w:r w:rsidRPr="00E576E0">
        <w:rPr>
          <w:rFonts w:asciiTheme="minorHAnsi" w:hAnsiTheme="minorHAnsi" w:cstheme="minorHAnsi"/>
          <w:sz w:val="22"/>
          <w:szCs w:val="22"/>
        </w:rPr>
        <w:t xml:space="preserve">Mit dem Besuch dieser </w:t>
      </w:r>
      <w:r w:rsidR="00F106B2" w:rsidRPr="00E576E0">
        <w:rPr>
          <w:rFonts w:asciiTheme="minorHAnsi" w:hAnsiTheme="minorHAnsi" w:cstheme="minorHAnsi"/>
          <w:sz w:val="22"/>
          <w:szCs w:val="22"/>
        </w:rPr>
        <w:t>Fortbildungs</w:t>
      </w:r>
      <w:r w:rsidRPr="00E576E0">
        <w:rPr>
          <w:rFonts w:asciiTheme="minorHAnsi" w:hAnsiTheme="minorHAnsi" w:cstheme="minorHAnsi"/>
          <w:sz w:val="22"/>
          <w:szCs w:val="22"/>
        </w:rPr>
        <w:t>reihe erwirbt man die Grundlagen, um mit Kindern und Jugendlichen in freien Theatergruppen, schulischen Theater-Arbeitsgemeinschaften und Wahlpflichtkursen in Darstellendem Spiel theaterpädagogisch zu arbeiten.</w:t>
      </w:r>
    </w:p>
    <w:p w14:paraId="2A46D267" w14:textId="77777777" w:rsidR="0040487F" w:rsidRPr="00E576E0" w:rsidRDefault="0040487F" w:rsidP="00A2119B">
      <w:pPr>
        <w:pStyle w:val="Kopfzeile"/>
        <w:tabs>
          <w:tab w:val="clear" w:pos="4536"/>
          <w:tab w:val="clear" w:pos="9072"/>
        </w:tabs>
        <w:jc w:val="both"/>
        <w:rPr>
          <w:rFonts w:asciiTheme="minorHAnsi" w:hAnsiTheme="minorHAnsi" w:cstheme="minorHAnsi"/>
          <w:sz w:val="22"/>
          <w:szCs w:val="22"/>
        </w:rPr>
      </w:pPr>
    </w:p>
    <w:p w14:paraId="7A0277FB" w14:textId="77777777" w:rsidR="0040487F" w:rsidRPr="00E576E0" w:rsidRDefault="0040487F" w:rsidP="00A2119B">
      <w:pPr>
        <w:jc w:val="both"/>
        <w:rPr>
          <w:rFonts w:cstheme="minorHAnsi"/>
          <w:shd w:val="clear" w:color="auto" w:fill="FFFFFF"/>
        </w:rPr>
      </w:pPr>
      <w:r w:rsidRPr="00E576E0">
        <w:rPr>
          <w:rStyle w:val="Fett"/>
          <w:rFonts w:cstheme="minorHAnsi"/>
          <w:b w:val="0"/>
          <w:shd w:val="clear" w:color="auto" w:fill="FFFFFF"/>
        </w:rPr>
        <w:t>Sie qualifiziert</w:t>
      </w:r>
      <w:r w:rsidR="00F106B2" w:rsidRPr="00E576E0">
        <w:rPr>
          <w:rStyle w:val="Fett"/>
          <w:rFonts w:cstheme="minorHAnsi"/>
          <w:b w:val="0"/>
          <w:shd w:val="clear" w:color="auto" w:fill="FFFFFF"/>
        </w:rPr>
        <w:t xml:space="preserve"> außerdem </w:t>
      </w:r>
      <w:r w:rsidRPr="00E576E0">
        <w:rPr>
          <w:rStyle w:val="Fett"/>
          <w:rFonts w:cstheme="minorHAnsi"/>
          <w:b w:val="0"/>
          <w:shd w:val="clear" w:color="auto" w:fill="FFFFFF"/>
        </w:rPr>
        <w:t xml:space="preserve">für den Besuch des zweijährigen Weiterbildungskurses </w:t>
      </w:r>
      <w:r w:rsidRPr="00E576E0">
        <w:rPr>
          <w:rFonts w:cstheme="minorHAnsi"/>
          <w:shd w:val="clear" w:color="auto" w:fill="FFFFFF"/>
        </w:rPr>
        <w:t>der hessischen Lehrkräfte-Akademie</w:t>
      </w:r>
      <w:r w:rsidR="00F106B2" w:rsidRPr="00E576E0">
        <w:rPr>
          <w:rFonts w:cstheme="minorHAnsi"/>
          <w:shd w:val="clear" w:color="auto" w:fill="FFFFFF"/>
        </w:rPr>
        <w:t>, der</w:t>
      </w:r>
      <w:r w:rsidRPr="00E576E0">
        <w:rPr>
          <w:rFonts w:cstheme="minorHAnsi"/>
          <w:shd w:val="clear" w:color="auto" w:fill="FFFFFF"/>
        </w:rPr>
        <w:t xml:space="preserve"> mit dem Erwerb der Fakultas im Fach „Darstellendes Spiel“</w:t>
      </w:r>
      <w:r w:rsidR="00F106B2" w:rsidRPr="00E576E0">
        <w:rPr>
          <w:rFonts w:cstheme="minorHAnsi"/>
          <w:shd w:val="clear" w:color="auto" w:fill="FFFFFF"/>
        </w:rPr>
        <w:t xml:space="preserve"> abgeschlossen wird</w:t>
      </w:r>
      <w:r w:rsidRPr="00E576E0">
        <w:rPr>
          <w:rFonts w:cstheme="minorHAnsi"/>
          <w:shd w:val="clear" w:color="auto" w:fill="FFFFFF"/>
        </w:rPr>
        <w:t>.</w:t>
      </w:r>
    </w:p>
    <w:p w14:paraId="4BC1CBB9" w14:textId="77777777" w:rsidR="0040487F" w:rsidRPr="0040487F" w:rsidRDefault="0040487F" w:rsidP="0040487F">
      <w:pPr>
        <w:pStyle w:val="Kopfzeile"/>
        <w:tabs>
          <w:tab w:val="clear" w:pos="4536"/>
          <w:tab w:val="clear" w:pos="9072"/>
        </w:tabs>
        <w:jc w:val="both"/>
        <w:rPr>
          <w:rFonts w:asciiTheme="minorHAnsi" w:hAnsiTheme="minorHAnsi" w:cstheme="minorHAnsi"/>
          <w:szCs w:val="24"/>
        </w:rPr>
      </w:pPr>
    </w:p>
    <w:p w14:paraId="022F61D4" w14:textId="7F5EBBED" w:rsidR="00CC1E0B" w:rsidRDefault="00A2119B" w:rsidP="00A2119B">
      <w:pPr>
        <w:pStyle w:val="Kopfzeile"/>
        <w:tabs>
          <w:tab w:val="clear" w:pos="4536"/>
          <w:tab w:val="clear" w:pos="9072"/>
        </w:tabs>
        <w:jc w:val="center"/>
      </w:pPr>
      <w:r w:rsidRPr="00A2119B">
        <w:drawing>
          <wp:inline distT="0" distB="0" distL="0" distR="0" wp14:anchorId="0D9F2B15" wp14:editId="5CFBB18D">
            <wp:extent cx="5278931" cy="31515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09597" cy="3169840"/>
                    </a:xfrm>
                    <a:prstGeom prst="rect">
                      <a:avLst/>
                    </a:prstGeom>
                  </pic:spPr>
                </pic:pic>
              </a:graphicData>
            </a:graphic>
          </wp:inline>
        </w:drawing>
      </w:r>
    </w:p>
    <w:sectPr w:rsidR="00CC1E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7F"/>
    <w:rsid w:val="003A7FD4"/>
    <w:rsid w:val="0040487F"/>
    <w:rsid w:val="005F7DE2"/>
    <w:rsid w:val="00A2119B"/>
    <w:rsid w:val="00C31AE0"/>
    <w:rsid w:val="00CC1E0B"/>
    <w:rsid w:val="00D33220"/>
    <w:rsid w:val="00E576E0"/>
    <w:rsid w:val="00F106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3F92"/>
  <w15:chartTrackingRefBased/>
  <w15:docId w15:val="{09FBA267-7C4F-4017-A131-2D57C3C8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0487F"/>
    <w:pPr>
      <w:tabs>
        <w:tab w:val="center" w:pos="4536"/>
        <w:tab w:val="right" w:pos="9072"/>
      </w:tabs>
      <w:spacing w:after="0" w:line="240" w:lineRule="auto"/>
    </w:pPr>
    <w:rPr>
      <w:rFonts w:ascii="Times New Roman" w:eastAsia="Times New Roman" w:hAnsi="Times New Roman" w:cs="Times New Roman"/>
      <w:sz w:val="24"/>
      <w:szCs w:val="20"/>
      <w:lang w:eastAsia="de-DE"/>
    </w:rPr>
  </w:style>
  <w:style w:type="character" w:customStyle="1" w:styleId="KopfzeileZchn">
    <w:name w:val="Kopfzeile Zchn"/>
    <w:basedOn w:val="Absatz-Standardschriftart"/>
    <w:link w:val="Kopfzeile"/>
    <w:rsid w:val="0040487F"/>
    <w:rPr>
      <w:rFonts w:ascii="Times New Roman" w:eastAsia="Times New Roman" w:hAnsi="Times New Roman" w:cs="Times New Roman"/>
      <w:sz w:val="24"/>
      <w:szCs w:val="20"/>
      <w:lang w:eastAsia="de-DE"/>
    </w:rPr>
  </w:style>
  <w:style w:type="character" w:styleId="Fett">
    <w:name w:val="Strong"/>
    <w:basedOn w:val="Absatz-Standardschriftart"/>
    <w:uiPriority w:val="22"/>
    <w:qFormat/>
    <w:rsid w:val="004048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1160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Aurich</dc:creator>
  <cp:keywords/>
  <dc:description/>
  <cp:lastModifiedBy>Baumbusch, Cornelia (LA HP)</cp:lastModifiedBy>
  <cp:revision>4</cp:revision>
  <dcterms:created xsi:type="dcterms:W3CDTF">2025-04-23T12:43:00Z</dcterms:created>
  <dcterms:modified xsi:type="dcterms:W3CDTF">2025-05-05T14:38:00Z</dcterms:modified>
</cp:coreProperties>
</file>